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C26A22" w:rsidRDefault="00CC5484" w:rsidP="001F3BFB">
            <w:pPr>
              <w:jc w:val="both"/>
            </w:pPr>
            <w:r w:rsidRPr="00CC5484">
              <w:rPr>
                <w:b/>
                <w:color w:val="000000"/>
              </w:rPr>
              <w:t>8.8.3</w:t>
            </w:r>
            <w:r>
              <w:rPr>
                <w:color w:val="000000"/>
              </w:rPr>
              <w:t xml:space="preserve"> </w:t>
            </w:r>
            <w:r w:rsidR="001F3BFB" w:rsidRPr="00AF4A06">
              <w:rPr>
                <w:b/>
                <w:color w:val="000000"/>
              </w:rPr>
              <w:t>Согласование режима работы после 23.00 и до 7.00 торгового центра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35140" w:rsidRPr="001F3BFB" w:rsidRDefault="001F3BFB" w:rsidP="006D5AB4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FB">
              <w:rPr>
                <w:rFonts w:ascii="Times New Roman" w:hAnsi="Times New Roman" w:cs="Times New Roman"/>
                <w:sz w:val="24"/>
                <w:szCs w:val="24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F3BFB" w:rsidRDefault="001F3BFB" w:rsidP="001F3BFB">
            <w:pPr>
              <w:spacing w:line="276" w:lineRule="auto"/>
            </w:pPr>
            <w:r>
              <w:t xml:space="preserve">Отдел экономики райисполкома (г.Столин, ул.Советская, 69, каб.№ 41, 44, тел.+ 375 1655 28553, 28131) </w:t>
            </w:r>
          </w:p>
          <w:p w:rsidR="001F3BFB" w:rsidRPr="008A0B6D" w:rsidRDefault="001F3BFB" w:rsidP="001F3BF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AF4A06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  <w:bookmarkStart w:id="0" w:name="_GoBack"/>
            <w:bookmarkEnd w:id="0"/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1F3BFB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1F3BFB" w:rsidP="00D1664D">
            <w:r>
              <w:t>15 рабочих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1F3BFB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1F3BFB" w:rsidP="001F3BFB">
            <w:r>
              <w:t>заключение о соответствии или несоответствии объекта критериям общественной безопасности из территориального органа внутренних дел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Наименование, место нахождения и режим работы вышестоящего </w:t>
            </w:r>
            <w:r w:rsidRPr="000E0559">
              <w:lastRenderedPageBreak/>
              <w:t>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lastRenderedPageBreak/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</w:r>
            <w:r w:rsidRPr="000E0559">
              <w:lastRenderedPageBreak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935140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C26A22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1F3BFB">
        <w:rPr>
          <w:b/>
          <w:bCs/>
          <w:iCs/>
          <w:sz w:val="28"/>
          <w:szCs w:val="28"/>
        </w:rPr>
        <w:t>3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0F1EB8" w:rsidRDefault="000F1EB8" w:rsidP="000F1EB8">
      <w:pPr>
        <w:pStyle w:val="titlep"/>
        <w:rPr>
          <w:rFonts w:eastAsiaTheme="minorEastAsia"/>
        </w:rPr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0F1EB8" w:rsidRDefault="000F1EB8" w:rsidP="000F1EB8">
      <w:pPr>
        <w:pStyle w:val="newncpi0"/>
      </w:pPr>
      <w:r>
        <w:t>Сведения о заявителе:</w:t>
      </w:r>
    </w:p>
    <w:p w:rsidR="000F1EB8" w:rsidRDefault="000F1EB8" w:rsidP="000F1EB8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4093"/>
      </w:tblGrid>
      <w:tr w:rsidR="000F1EB8" w:rsidTr="0043675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  <w:tr w:rsidR="000F1EB8" w:rsidTr="0043675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  <w:tr w:rsidR="000F1EB8" w:rsidTr="0043675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  <w:tr w:rsidR="000F1EB8" w:rsidTr="0043675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</w:tbl>
    <w:p w:rsidR="000F1EB8" w:rsidRDefault="000F1EB8" w:rsidP="000F1EB8">
      <w:pPr>
        <w:pStyle w:val="newncpi0"/>
      </w:pPr>
      <w:r>
        <w:t> </w:t>
      </w:r>
    </w:p>
    <w:p w:rsidR="000F1EB8" w:rsidRDefault="000F1EB8" w:rsidP="000F1EB8">
      <w:pPr>
        <w:pStyle w:val="newncpi0"/>
      </w:pPr>
      <w:r>
        <w:t>Прошу согласовать режим работы:</w:t>
      </w:r>
    </w:p>
    <w:p w:rsidR="000F1EB8" w:rsidRDefault="000F1EB8" w:rsidP="000F1EB8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5"/>
        <w:gridCol w:w="818"/>
        <w:gridCol w:w="818"/>
        <w:gridCol w:w="818"/>
        <w:gridCol w:w="818"/>
        <w:gridCol w:w="822"/>
      </w:tblGrid>
      <w:tr w:rsidR="000F1EB8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proofErr w:type="gramStart"/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  <w:tr w:rsidR="000F1EB8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  <w:tr w:rsidR="000F1EB8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Сведения о </w:t>
            </w:r>
            <w:proofErr w:type="gramStart"/>
            <w:r>
              <w:t>договоре</w:t>
            </w:r>
            <w:proofErr w:type="gramEnd"/>
            <w: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  <w:tr w:rsidR="000F1EB8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proofErr w:type="gramStart"/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  <w:tr w:rsidR="000F1EB8" w:rsidTr="0043675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0F1EB8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часов</w:t>
            </w:r>
          </w:p>
        </w:tc>
      </w:tr>
      <w:tr w:rsidR="000F1EB8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часов</w:t>
            </w:r>
          </w:p>
        </w:tc>
      </w:tr>
      <w:tr w:rsidR="000F1EB8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  <w:tr w:rsidR="000F1EB8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  <w:tr w:rsidR="000F1EB8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</w:tr>
    </w:tbl>
    <w:p w:rsidR="000F1EB8" w:rsidRDefault="000F1EB8" w:rsidP="000F1EB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2486"/>
        <w:gridCol w:w="2777"/>
      </w:tblGrid>
      <w:tr w:rsidR="000F1EB8" w:rsidTr="0043675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1EB8" w:rsidRDefault="000F1EB8" w:rsidP="00436753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1EB8" w:rsidRDefault="000F1EB8" w:rsidP="00436753">
            <w:pPr>
              <w:pStyle w:val="newncpi0"/>
              <w:jc w:val="right"/>
            </w:pPr>
            <w:r>
              <w:t>_____________________</w:t>
            </w:r>
          </w:p>
        </w:tc>
      </w:tr>
      <w:tr w:rsidR="000F1EB8" w:rsidTr="0043675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EB8" w:rsidRDefault="000F1EB8" w:rsidP="00436753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0F1EB8" w:rsidRDefault="000F1EB8" w:rsidP="000F1EB8">
      <w:pPr>
        <w:pStyle w:val="newncpi0"/>
      </w:pPr>
      <w:r>
        <w:t>____ ________________ 20___ г.</w:t>
      </w:r>
    </w:p>
    <w:p w:rsidR="000F1EB8" w:rsidRDefault="000F1EB8" w:rsidP="000F1EB8">
      <w:pPr>
        <w:pStyle w:val="newncpi"/>
      </w:pPr>
      <w:r>
        <w:t> </w:t>
      </w:r>
    </w:p>
    <w:p w:rsidR="000F1EB8" w:rsidRDefault="000F1EB8" w:rsidP="000F1EB8">
      <w:pPr>
        <w:pStyle w:val="snoskiline"/>
      </w:pPr>
      <w:r>
        <w:t>______________________________</w:t>
      </w:r>
    </w:p>
    <w:p w:rsidR="000F1EB8" w:rsidRDefault="000F1EB8" w:rsidP="000F1EB8">
      <w:pPr>
        <w:pStyle w:val="snoski"/>
      </w:pPr>
      <w:r>
        <w:t>* За исключением передвижных средств разносной торговли.</w:t>
      </w:r>
    </w:p>
    <w:p w:rsidR="000F1EB8" w:rsidRDefault="000F1EB8" w:rsidP="000F1EB8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0F1EB8" w:rsidRDefault="000F1EB8" w:rsidP="000F1EB8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0F1EB8" w:rsidRDefault="000F1EB8" w:rsidP="000F1EB8">
      <w:pPr>
        <w:pStyle w:val="endform"/>
      </w:pPr>
      <w:r>
        <w:t> </w:t>
      </w:r>
    </w:p>
    <w:sectPr w:rsidR="000F1EB8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0F1EB8"/>
    <w:rsid w:val="001E65CC"/>
    <w:rsid w:val="001F3BFB"/>
    <w:rsid w:val="0036129B"/>
    <w:rsid w:val="00381619"/>
    <w:rsid w:val="0039284E"/>
    <w:rsid w:val="0056209A"/>
    <w:rsid w:val="005C3CF9"/>
    <w:rsid w:val="006D5AB4"/>
    <w:rsid w:val="007A4935"/>
    <w:rsid w:val="007C1A44"/>
    <w:rsid w:val="00823423"/>
    <w:rsid w:val="00935140"/>
    <w:rsid w:val="00966661"/>
    <w:rsid w:val="00967D22"/>
    <w:rsid w:val="00984CB1"/>
    <w:rsid w:val="009A2387"/>
    <w:rsid w:val="009E420D"/>
    <w:rsid w:val="00AD29C9"/>
    <w:rsid w:val="00AF4A06"/>
    <w:rsid w:val="00C26A22"/>
    <w:rsid w:val="00C964EB"/>
    <w:rsid w:val="00CC5484"/>
    <w:rsid w:val="00D4122D"/>
    <w:rsid w:val="00DE7B34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0F1EB8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0F1EB8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0F1EB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F1EB8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0F1EB8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0F1EB8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0F1EB8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0F1EB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F1EB8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0F1EB8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2022-08-25T12:50:00Z</cp:lastPrinted>
  <dcterms:created xsi:type="dcterms:W3CDTF">2022-09-08T12:19:00Z</dcterms:created>
  <dcterms:modified xsi:type="dcterms:W3CDTF">2023-05-02T14:04:00Z</dcterms:modified>
</cp:coreProperties>
</file>